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3" Type="http://schemas.openxmlformats.org/package/2006/relationships/metadata/core-properties" Target="docProps/core.xml"/><Relationship Id="rId2"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1"/>
        <w:jc w:val="center"/>
      </w:pPr>
      <w:r>
        <w:rPr/>
        <w:t>人力外包服务框架协议</w:t>
      </w:r>
    </w:p>
    <w:tbl>
      <w:tblPr>
        <w:tblStyle w:val="33"/>
        <w:tblW w:type="auto" w:w="0"/>
        <w:tblLook w:firstColumn="1" w:firstRow="1" w:lastColumn="0" w:lastRow="0" w:noHBand="0" w:noVBand="1" w:val="04A0"/>
        <w:tblBorders>
          <w:top w:val="nil" w:sz="4" w:space="0" w:color="808080"/>
          <w:left w:val="nil" w:sz="4" w:space="0" w:color="808080"/>
          <w:bottom w:val="nil" w:sz="4" w:space="0" w:color="808080"/>
          <w:right w:val="nil" w:sz="4" w:space="0" w:color="808080"/>
          <w:insideH w:val="nil" w:sz="4" w:space="0" w:color="808080"/>
          <w:insideV w:val="nil" w:sz="4" w:space="0" w:color="808080"/>
        </w:tblBorders>
        <w:tblCellMar>
          <w:top w:w="50" w:type="dxa"/>
          <w:bottom w:w="50" w:type="dxa"/>
          <w:left w:w="100" w:type="dxa"/>
          <w:right w:w="100" w:type="dxa"/>
        </w:tblCellMar>
        <w:tblLayout w:type="fixed"/>
      </w:tblPr>
      <w:tblGrid>
        <w:gridCol w:w="4479"/>
        <w:gridCol w:w="4479"/>
      </w:tblGrid>
      <w:tr>
        <w:tc>
          <w:tcPr>
            <w:tcW w:type="dxa" w:w="4479"/>
          </w:tcPr>
          <w:p>
            <w:pPr>
              <w:spacing w:after="120" w:line="340" w:lineRule="exact"/>
              <w:jc w:val="left"/>
            </w:pPr>
            <w:r/>
            <w:r>
              <w:rPr>
                <w:sz w:val="21"/>
              </w:rPr>
              <w:t xml:space="preserve">甲方：测试甲方科技有限公司</w:t>
            </w:r>
          </w:p>
        </w:tc>
        <w:tc>
          <w:tcPr>
            <w:tcW w:type="dxa" w:w="4479"/>
          </w:tcPr>
          <w:p>
            <w:pPr>
              <w:spacing w:after="120" w:line="340" w:lineRule="exact"/>
              <w:jc w:val="left"/>
            </w:pPr>
            <w:r/>
            <w:r>
              <w:rPr>
                <w:sz w:val="21"/>
              </w:rPr>
              <w:t xml:space="preserve">乙方：杭州昇业数科技有限公司</w:t>
            </w:r>
          </w:p>
        </w:tc>
      </w:tr>
      <w:tr>
        <w:tc>
          <w:tcPr>
            <w:tcW w:type="dxa" w:w="4479"/>
          </w:tcPr>
          <w:p>
            <w:pPr>
              <w:spacing w:after="120" w:line="340" w:lineRule="exact"/>
              <w:jc w:val="left"/>
            </w:pPr>
            <w:r/>
            <w:r>
              <w:rPr>
                <w:sz w:val="21"/>
              </w:rPr>
              <w:t xml:space="preserve">指定联系人：张三</w:t>
            </w:r>
          </w:p>
        </w:tc>
        <w:tc>
          <w:tcPr>
            <w:tcW w:type="dxa" w:w="4479"/>
          </w:tcPr>
          <w:p>
            <w:pPr>
              <w:spacing w:after="120" w:line="340" w:lineRule="exact"/>
              <w:jc w:val="left"/>
            </w:pPr>
            <w:r/>
            <w:r>
              <w:rPr>
                <w:sz w:val="21"/>
              </w:rPr>
              <w:t xml:space="preserve">指定联系人：李四</w:t>
            </w:r>
          </w:p>
        </w:tc>
      </w:tr>
      <w:tr>
        <w:tc>
          <w:tcPr>
            <w:tcW w:type="dxa" w:w="4479"/>
          </w:tcPr>
          <w:p>
            <w:pPr>
              <w:spacing w:after="120" w:line="340" w:lineRule="exact"/>
              <w:jc w:val="left"/>
            </w:pPr>
            <w:r/>
            <w:r>
              <w:rPr>
                <w:sz w:val="21"/>
              </w:rPr>
              <w:t xml:space="preserve">联系电话：0571-00000000</w:t>
            </w:r>
          </w:p>
        </w:tc>
        <w:tc>
          <w:tcPr>
            <w:tcW w:type="dxa" w:w="4479"/>
          </w:tcPr>
          <w:p>
            <w:pPr>
              <w:spacing w:after="120" w:line="340" w:lineRule="exact"/>
              <w:jc w:val="left"/>
            </w:pPr>
            <w:r/>
            <w:r>
              <w:rPr>
                <w:sz w:val="21"/>
              </w:rPr>
              <w:t xml:space="preserve">联系电话：0571-11111111</w:t>
            </w:r>
          </w:p>
        </w:tc>
      </w:tr>
      <w:tr>
        <w:tc>
          <w:tcPr>
            <w:tcW w:type="dxa" w:w="4479"/>
          </w:tcPr>
          <w:p>
            <w:pPr>
              <w:spacing w:after="120" w:line="340" w:lineRule="exact"/>
              <w:jc w:val="left"/>
            </w:pPr>
            <w:r/>
            <w:r>
              <w:rPr>
                <w:sz w:val="21"/>
              </w:rPr>
              <w:t xml:space="preserve">联系邮箱：a@example.com</w:t>
            </w:r>
          </w:p>
        </w:tc>
        <w:tc>
          <w:tcPr>
            <w:tcW w:type="dxa" w:w="4479"/>
          </w:tcPr>
          <w:p>
            <w:pPr>
              <w:spacing w:after="120" w:line="340" w:lineRule="exact"/>
              <w:jc w:val="left"/>
            </w:pPr>
            <w:r/>
            <w:r>
              <w:rPr>
                <w:sz w:val="21"/>
              </w:rPr>
              <w:t xml:space="preserve">联系邮箱：b@example.com</w:t>
            </w:r>
          </w:p>
        </w:tc>
      </w:tr>
      <w:tr>
        <w:tc>
          <w:tcPr>
            <w:tcW w:type="dxa" w:w="4479"/>
          </w:tcPr>
          <w:p>
            <w:pPr>
              <w:spacing w:after="120" w:line="340" w:lineRule="exact"/>
              <w:jc w:val="left"/>
            </w:pPr>
            <w:r/>
            <w:r>
              <w:rPr>
                <w:sz w:val="21"/>
              </w:rPr>
              <w:t xml:space="preserve">通讯地址：杭州市某区某路 1 号</w:t>
            </w:r>
          </w:p>
        </w:tc>
        <w:tc>
          <w:tcPr>
            <w:tcW w:type="dxa" w:w="4479"/>
          </w:tcPr>
          <w:p>
            <w:pPr>
              <w:spacing w:after="120" w:line="340" w:lineRule="exact"/>
              <w:jc w:val="left"/>
            </w:pPr>
            <w:r/>
            <w:r>
              <w:rPr>
                <w:sz w:val="21"/>
              </w:rPr>
              <w:t xml:space="preserve">通讯地址：杭州市钱塘区某路 2 号</w:t>
            </w:r>
          </w:p>
        </w:tc>
      </w:tr>
    </w:tbl>
    <w:p>
      <w:pPr/>
      <w:r>
        <w:rPr/>
        <w:t>甲乙双方本着平等、自愿、诚实信用的原则，就甲方委托乙方提供人力外包服务事宜，依据《中华人民共和国民法典》等法律法规，订立本框架协议（以下简称「本协议」）。</w:t>
      </w:r>
    </w:p>
    <w:p>
      <w:pPr>
        <w:pStyle w:val="3"/>
      </w:pPr>
      <w:r>
        <w:rPr/>
        <w:t>第一条 定义</w:t>
      </w:r>
    </w:p>
    <w:p>
      <w:pPr>
        <w:tabs>
          <w:tab w:pos="510" w:val="left"/>
        </w:tabs>
        <w:ind w:left="510" w:hanging="510"/>
      </w:pPr>
      <w:r>
        <w:rPr/>
        <w:t>1.1</w:t>
        <w:tab/>
        <w:t>人力外包服务：乙方根据甲方需求，招募、组织劳务人员（以下简称「服务人员」）在约定时间、地点完成约定工作，并负责服务人员的安排、出勤核对和报酬结算发放。</w:t>
      </w:r>
    </w:p>
    <w:p>
      <w:pPr>
        <w:tabs>
          <w:tab w:pos="510" w:val="left"/>
        </w:tabs>
        <w:ind w:left="510" w:hanging="510"/>
      </w:pPr>
      <w:r>
        <w:rPr/>
        <w:t>1.2</w:t>
        <w:tab/>
        <w:t>项目确认单：双方就某一项目确认人数、时间、地点、工作内容、价格等具体事项的书面文件，格式见附件一。</w:t>
      </w:r>
    </w:p>
    <w:p>
      <w:pPr>
        <w:tabs>
          <w:tab w:pos="510" w:val="left"/>
        </w:tabs>
        <w:ind w:left="510" w:hanging="510"/>
      </w:pPr>
      <w:r>
        <w:rPr/>
        <w:t>1.3</w:t>
        <w:tab/>
        <w:t>结算单：乙方根据经确认的出勤记录制作、列明当期应付费用的书面文件。</w:t>
      </w:r>
    </w:p>
    <w:p>
      <w:pPr>
        <w:tabs>
          <w:tab w:pos="510" w:val="left"/>
        </w:tabs>
        <w:ind w:left="510" w:hanging="510"/>
      </w:pPr>
      <w:r>
        <w:rPr/>
        <w:t>1.4</w:t>
        <w:tab/>
        <w:t>书面形式：包括纸质文件、盖章扫描件、电子邮件，以及双方指定联系人通过企业微信、微信发送的文字确认；文字确认的效力范围受第 3.2 条、第 16.1 条限制。</w:t>
      </w:r>
    </w:p>
    <w:p>
      <w:pPr>
        <w:pStyle w:val="3"/>
      </w:pPr>
      <w:r>
        <w:rPr/>
        <w:t>第二条 合作性质与人员安排</w:t>
      </w:r>
    </w:p>
    <w:p>
      <w:pPr>
        <w:tabs>
          <w:tab w:pos="510" w:val="left"/>
        </w:tabs>
        <w:ind w:left="510" w:hanging="510"/>
      </w:pPr>
      <w:r>
        <w:rPr/>
        <w:t>2.1</w:t>
        <w:tab/>
        <w:t>本协议为人力外包服务合作。服务人员由乙方招募、组织，与乙方建立劳务关系，由乙方支付劳务报酬。</w:t>
      </w:r>
    </w:p>
    <w:p>
      <w:pPr>
        <w:tabs>
          <w:tab w:pos="510" w:val="left"/>
        </w:tabs>
        <w:ind w:left="510" w:hanging="510"/>
      </w:pPr>
      <w:r>
        <w:rPr/>
        <w:t>2.2</w:t>
        <w:tab/>
        <w:t>服务人员与甲方之间不建立劳动关系或劳务关系。</w:t>
      </w:r>
    </w:p>
    <w:p>
      <w:pPr>
        <w:tabs>
          <w:tab w:pos="510" w:val="left"/>
        </w:tabs>
        <w:ind w:left="510" w:hanging="510"/>
      </w:pPr>
      <w:r>
        <w:rPr/>
        <w:t>2.3</w:t>
        <w:tab/>
        <w:t>甲方提出岗位需求和工作时间安排，乙方据此安排服务人员。甲方可就工作内容、工作标准和现场安全向服务人员作业务性指引；服务人员的招募、录用、人员安排、报酬核定与发放、更换由乙方负责。</w:t>
      </w:r>
    </w:p>
    <w:p>
      <w:pPr>
        <w:tabs>
          <w:tab w:pos="510" w:val="left"/>
        </w:tabs>
        <w:ind w:left="510" w:hanging="510"/>
      </w:pPr>
      <w:r>
        <w:rPr/>
        <w:t>2.4</w:t>
        <w:tab/>
        <w:t>甲方协助记录服务人员的出勤情况，乙方线上核对后确认，作为结算依据（第 5.7 条）。</w:t>
      </w:r>
    </w:p>
    <w:p>
      <w:pPr>
        <w:tabs>
          <w:tab w:pos="510" w:val="left"/>
        </w:tabs>
        <w:ind w:left="510" w:hanging="510"/>
      </w:pPr>
      <w:r>
        <w:rPr>
          <w:b/>
        </w:rPr>
        <w:t>2.5</w:t>
        <w:tab/>
        <w:t>甲方对服务人员的奖励，由甲方提出、经乙方发放。对服务人员的扣罚须有事实依据，列入结算单经乙方确认后执行；甲方不得直接对服务人员扣款、处罚、辞退。甲方对服务人员有意见的，向乙方指定联系人提出，由乙方处理。</w:t>
      </w:r>
    </w:p>
    <w:p>
      <w:pPr>
        <w:tabs>
          <w:tab w:pos="510" w:val="left"/>
        </w:tabs>
        <w:ind w:left="510" w:hanging="510"/>
      </w:pPr>
      <w:r>
        <w:rPr>
          <w:b/>
        </w:rPr>
        <w:t>2.6</w:t>
        <w:tab/>
        <w:t>甲方现场需要调整人数、时间、岗位的，经乙方指定联系人确认后执行。甲方越过乙方直接对服务人员作出第 2.5 条所列扣款、处罚、辞退，或本条所列人数、时间、岗位调整的，由此产生的争议和责任由甲方承担。</w:t>
      </w:r>
    </w:p>
    <w:p>
      <w:pPr>
        <w:pStyle w:val="3"/>
      </w:pPr>
      <w:r>
        <w:rPr/>
        <w:t>第三条 需求与确认</w:t>
      </w:r>
    </w:p>
    <w:p>
      <w:pPr>
        <w:tabs>
          <w:tab w:pos="510" w:val="left"/>
        </w:tabs>
        <w:ind w:left="510" w:hanging="510"/>
      </w:pPr>
      <w:r>
        <w:rPr/>
        <w:t>3.1</w:t>
        <w:tab/>
        <w:t>甲方每次用人需求，以书面形式向乙方提出；双方确认后签署或书面确认项目确认单。</w:t>
      </w:r>
    </w:p>
    <w:p>
      <w:pPr>
        <w:tabs>
          <w:tab w:pos="510" w:val="left"/>
        </w:tabs>
        <w:ind w:left="510" w:hanging="510"/>
      </w:pPr>
      <w:r>
        <w:rPr>
          <w:b/>
        </w:rPr>
        <w:t>3.2</w:t>
        <w:tab/>
        <w:t>项目确认单、报价单、结算单是本协议的组成部分，以乙方出具、并经双方盖章或双方指定联系人书面确认的版本为准。项目确认单、报价单仅可约定下列具体事项：人数、服务期间与时段、地点、工作内容、人员要求、单价与计价方式（含计价基准）、预计总额、超时单价、交通餐补、发票类型、税费承担方式与税点、预付款（仅限项目确认单第 14 项列明的固定选项）、结算周期、考勤确认期限、收票后付款的天数、双方现场对接人与联系人；在这些事项上与本协议正文不一致的，以项目确认单、报价单为准。除上述事项外，任何项目确认单、报价单、结算单、聊天记录或其他文件均不得变更或排除本协议条款；变更本协议条款，须签署载明「修订本协议第 X 条」并经双方盖章的补充协议。同一项目有多份项目确认单的，以在后确认者为准。</w:t>
      </w:r>
    </w:p>
    <w:p>
      <w:pPr>
        <w:tabs>
          <w:tab w:pos="510" w:val="left"/>
        </w:tabs>
        <w:ind w:left="510" w:hanging="510"/>
      </w:pPr>
      <w:r>
        <w:rPr>
          <w:b/>
        </w:rPr>
        <w:t>3.3</w:t>
        <w:tab/>
        <w:t>甲方应在项目开始前不少于 24 小时提出需求。不足该时间的，乙方尽力安排，不能足额到岗的按实际出勤结算，不视为乙方违约。</w:t>
      </w:r>
    </w:p>
    <w:p>
      <w:pPr>
        <w:tabs>
          <w:tab w:pos="510" w:val="left"/>
        </w:tabs>
        <w:ind w:left="510" w:hanging="510"/>
      </w:pPr>
      <w:r>
        <w:rPr/>
        <w:t>3.4</w:t>
        <w:tab/>
        <w:t>甲方确认需求后变更人数、时间、地点或工作内容的，应书面通知乙方；减少人数或取消的，按第六条处理。</w:t>
      </w:r>
    </w:p>
    <w:p>
      <w:pPr>
        <w:tabs>
          <w:tab w:pos="510" w:val="left"/>
        </w:tabs>
        <w:ind w:left="510" w:hanging="510"/>
      </w:pPr>
      <w:r>
        <w:rPr>
          <w:b/>
        </w:rPr>
        <w:t>3.5</w:t>
        <w:tab/>
        <w:t>甲方自行提供的格式文本、采购订单条款、供应商手册、安全协议等，除经乙方盖章并载明「构成本协议组成部分」外，对乙方不具约束力。</w:t>
      </w:r>
    </w:p>
    <w:p>
      <w:pPr>
        <w:pStyle w:val="3"/>
      </w:pPr>
      <w:r>
        <w:rPr/>
        <w:t>第四条 服务费用</w:t>
      </w:r>
    </w:p>
    <w:p>
      <w:pPr>
        <w:tabs>
          <w:tab w:pos="510" w:val="left"/>
        </w:tabs>
        <w:ind w:left="510" w:hanging="510"/>
      </w:pPr>
      <w:r>
        <w:rPr/>
        <w:t>4.1</w:t>
        <w:tab/>
        <w:t>服务费用的计价方式、单价及结算周期按下列约定执行：</w:t>
      </w:r>
    </w:p>
    <w:p>
      <w:pPr/>
      <w:r>
        <w:rPr/>
        <w:t xml:space="preserve">本协议有效期内，服务单价如下：礼仪 300 元／人／天；引导 300 元／人／天。单价调整须双方书面确认。</w:t>
      </w:r>
    </w:p>
    <w:p>
      <w:pPr>
        <w:tabs>
          <w:tab w:pos="510" w:val="left"/>
        </w:tabs>
        <w:ind w:left="510" w:hanging="510"/>
      </w:pPr>
      <w:r>
        <w:rPr/>
        <w:t>4.2</w:t>
        <w:tab/>
        <w:t>服务费用为乙方提供服务的综合对价，包含服务人员劳务报酬、招聘组织、项目管理及乙方依法应承担的税费（甲方承担的税费按第八条另计）。</w:t>
      </w:r>
    </w:p>
    <w:p>
      <w:pPr>
        <w:tabs>
          <w:tab w:pos="510" w:val="left"/>
        </w:tabs>
        <w:ind w:left="510" w:hanging="510"/>
      </w:pPr>
      <w:r>
        <w:rPr/>
        <w:t>4.3</w:t>
        <w:tab/>
        <w:t>交通费、餐费、住宿费、物料费等，以项目确认单约定为准；未约定的，经甲方书面同意后据实结算。</w:t>
      </w:r>
    </w:p>
    <w:p>
      <w:pPr>
        <w:pStyle w:val="3"/>
      </w:pPr>
      <w:r>
        <w:rPr/>
        <w:t>第五条 按实际出勤结算</w:t>
      </w:r>
    </w:p>
    <w:p>
      <w:pPr>
        <w:tabs>
          <w:tab w:pos="510" w:val="left"/>
        </w:tabs>
        <w:ind w:left="510" w:hanging="510"/>
      </w:pPr>
      <w:r>
        <w:rPr/>
        <w:t>5.1</w:t>
        <w:tab/>
        <w:t>项目确认单载明的人数、天数、时长和总价均为预计；最终费用以经确认的实际出勤记录，按约定单价结算。</w:t>
      </w:r>
    </w:p>
    <w:p>
      <w:pPr>
        <w:tabs>
          <w:tab w:pos="510" w:val="left"/>
        </w:tabs>
        <w:ind w:left="510" w:hanging="510"/>
      </w:pPr>
      <w:r>
        <w:rPr>
          <w:b/>
        </w:rPr>
        <w:t>5.2</w:t>
        <w:tab/>
        <w:t>服务人员按约定时间到岗报到的，当日按不少于 4 小时计费（约定时长不足 4 小时的，按约定时长）；服务人员到岗后，因甲方原因（包括活动推迟、场地未就绪、甲方取消当日工作）未能开始或提前结束的，按约定时长全额计费。甲方在服务人员到岗前取消的，按第六条处理；服务人员自身原因未到岗的，按第 5.5 条处理。因服务人员自身原因迟到、早退或中途离场的，按实际工作时长计费，不适用前述最低计费。</w:t>
      </w:r>
    </w:p>
    <w:p>
      <w:pPr>
        <w:tabs>
          <w:tab w:pos="510" w:val="left"/>
        </w:tabs>
        <w:ind w:left="510" w:hanging="510"/>
      </w:pPr>
      <w:r>
        <w:rPr>
          <w:b/>
        </w:rPr>
        <w:t>5.3</w:t>
        <w:tab/>
        <w:t>服务人员实际工作超出约定时长的，超出部分按项目确认单约定的超时单价计费；未约定的，按约定小时单价的 1.5 倍计费，不足 30 分钟按 30 分钟计。甲方现场人员提出延长服务的，经乙方指定联系人确认后执行，视为甲方确认超时。</w:t>
      </w:r>
    </w:p>
    <w:p>
      <w:pPr>
        <w:tabs>
          <w:tab w:pos="510" w:val="left"/>
        </w:tabs>
        <w:ind w:left="510" w:hanging="510"/>
      </w:pPr>
      <w:r>
        <w:rPr>
          <w:b/>
        </w:rPr>
        <w:t>5.4</w:t>
        <w:tab/>
        <w:t>甲方临时增加人员的，按同一单价结算，乙方尽力安排，不能足额到岗的不视为违约。服务人员到场后甲方减少人员或提前结束的，已到场人员按约定时长全额计费；未到场的按第六条处理。</w:t>
      </w:r>
    </w:p>
    <w:p>
      <w:pPr>
        <w:tabs>
          <w:tab w:pos="510" w:val="left"/>
        </w:tabs>
        <w:ind w:left="510" w:hanging="510"/>
      </w:pPr>
      <w:r>
        <w:rPr>
          <w:b/>
        </w:rPr>
        <w:t>5.5</w:t>
        <w:tab/>
        <w:t>乙方已安排的服务人员临时缺岗的，乙方当天尽快补位；当天无法补齐的，按实际到岗人数结算，不视为乙方违约。乙方根本未安排的，按第 11.2 条处理。</w:t>
      </w:r>
    </w:p>
    <w:p>
      <w:pPr>
        <w:tabs>
          <w:tab w:pos="510" w:val="left"/>
        </w:tabs>
        <w:ind w:left="510" w:hanging="510"/>
      </w:pPr>
      <w:r>
        <w:rPr/>
        <w:t>5.6</w:t>
        <w:tab/>
        <w:t>甲方临时变更工作内容、岗位或地点，且变更后工作强度或风险明显高于原约定的，乙方可要求按新单价结算或拒绝变更；服务人员可拒绝从事与约定明显不符或存在安全风险的工作。</w:t>
      </w:r>
    </w:p>
    <w:p>
      <w:pPr>
        <w:tabs>
          <w:tab w:pos="510" w:val="left"/>
        </w:tabs>
        <w:ind w:left="510" w:hanging="510"/>
      </w:pPr>
      <w:r>
        <w:rPr>
          <w:b/>
        </w:rPr>
        <w:t>5.7</w:t>
        <w:tab/>
        <w:t>乙方于每个结算周期结束后向甲方提供出勤记录，甲方应于收到后 2 个工作日内书面确认或提出具体异议；逾期未确认也未提出异议的，视为确认。部分有异议的，不影响无异议部分的确认和支付。</w:t>
      </w:r>
    </w:p>
    <w:p>
      <w:pPr>
        <w:pStyle w:val="3"/>
      </w:pPr>
      <w:r>
        <w:rPr/>
        <w:t>第六条 取消</w:t>
      </w:r>
    </w:p>
    <w:p>
      <w:pPr>
        <w:tabs>
          <w:tab w:pos="510" w:val="left"/>
        </w:tabs>
        <w:ind w:left="510" w:hanging="510"/>
      </w:pPr>
      <w:r>
        <w:rPr>
          <w:b/>
        </w:rPr>
        <w:t>6.1</w:t>
        <w:tab/>
        <w:t>甲方取消已确认的需求或减少人数的，应书面通知乙方，并按通知送达乙方时距被取消当日约定开工时间的长短，向乙方支付取消补偿费：</w:t>
      </w:r>
    </w:p>
    <w:tbl>
      <w:tblPr>
        <w:tblStyle w:val="33"/>
        <w:tblW w:type="auto" w:w="0"/>
        <w:tblLook w:firstColumn="1" w:firstRow="1" w:lastColumn="0" w:lastRow="0" w:noHBand="0" w:noVBand="1" w:val="04A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0" w:type="dxa"/>
          <w:bottom w:w="50" w:type="dxa"/>
          <w:left w:w="100" w:type="dxa"/>
          <w:right w:w="100" w:type="dxa"/>
        </w:tblCellMar>
        <w:tblLayout w:type="fixed"/>
      </w:tblPr>
      <w:tblGrid>
        <w:gridCol w:w="4479"/>
        <w:gridCol w:w="4479"/>
      </w:tblGrid>
      <w:tr>
        <w:tc>
          <w:tcPr>
            <w:tcW w:type="dxa" w:w="4479"/>
            <w:shd w:val="clear" w:color="auto" w:fill="F2F2F2"/>
          </w:tcPr>
          <w:p>
            <w:pPr>
              <w:spacing w:after="0" w:line="320" w:lineRule="exact"/>
              <w:jc w:val="left"/>
            </w:pPr>
            <w:r/>
            <w:r>
              <w:rPr>
                <w:b/>
                <w:sz w:val="20"/>
              </w:rPr>
              <w:t>通知时间</w:t>
            </w:r>
          </w:p>
        </w:tc>
        <w:tc>
          <w:tcPr>
            <w:tcW w:type="dxa" w:w="4479"/>
            <w:shd w:val="clear" w:color="auto" w:fill="F2F2F2"/>
          </w:tcPr>
          <w:p>
            <w:pPr>
              <w:spacing w:after="0" w:line="320" w:lineRule="exact"/>
              <w:jc w:val="left"/>
            </w:pPr>
            <w:r/>
            <w:r>
              <w:rPr>
                <w:b/>
                <w:sz w:val="20"/>
              </w:rPr>
              <w:t>取消补偿费</w:t>
            </w:r>
          </w:p>
        </w:tc>
      </w:tr>
      <w:tr>
        <w:tc>
          <w:tcPr>
            <w:tcW w:type="dxa" w:w="4479"/>
          </w:tcPr>
          <w:p>
            <w:pPr>
              <w:spacing w:after="0" w:line="320" w:lineRule="exact"/>
              <w:jc w:val="left"/>
            </w:pPr>
            <w:r/>
            <w:r>
              <w:rPr>
                <w:sz w:val="20"/>
              </w:rPr>
              <w:t>满 72 小时</w:t>
            </w:r>
          </w:p>
        </w:tc>
        <w:tc>
          <w:tcPr>
            <w:tcW w:type="dxa" w:w="4479"/>
          </w:tcPr>
          <w:p>
            <w:pPr>
              <w:spacing w:after="0" w:line="320" w:lineRule="exact"/>
              <w:jc w:val="left"/>
            </w:pPr>
            <w:r/>
            <w:r>
              <w:rPr>
                <w:sz w:val="20"/>
              </w:rPr>
              <w:t>不收取</w:t>
            </w:r>
          </w:p>
        </w:tc>
      </w:tr>
      <w:tr>
        <w:tc>
          <w:tcPr>
            <w:tcW w:type="dxa" w:w="4479"/>
          </w:tcPr>
          <w:p>
            <w:pPr>
              <w:spacing w:after="0" w:line="320" w:lineRule="exact"/>
              <w:jc w:val="left"/>
            </w:pPr>
            <w:r/>
            <w:r>
              <w:rPr>
                <w:sz w:val="20"/>
              </w:rPr>
              <w:t>满 24 小时、不满 72 小时</w:t>
            </w:r>
          </w:p>
        </w:tc>
        <w:tc>
          <w:tcPr>
            <w:tcW w:type="dxa" w:w="4479"/>
          </w:tcPr>
          <w:p>
            <w:pPr>
              <w:spacing w:after="0" w:line="320" w:lineRule="exact"/>
              <w:jc w:val="left"/>
            </w:pPr>
            <w:r/>
            <w:r>
              <w:rPr>
                <w:sz w:val="20"/>
              </w:rPr>
              <w:t>取消人次 × 单日单价 × 30%</w:t>
            </w:r>
          </w:p>
        </w:tc>
      </w:tr>
      <w:tr>
        <w:tc>
          <w:tcPr>
            <w:tcW w:type="dxa" w:w="4479"/>
          </w:tcPr>
          <w:p>
            <w:pPr>
              <w:spacing w:after="0" w:line="320" w:lineRule="exact"/>
              <w:jc w:val="left"/>
            </w:pPr>
            <w:r/>
            <w:r>
              <w:rPr>
                <w:sz w:val="20"/>
              </w:rPr>
              <w:t>不满 24 小时</w:t>
            </w:r>
          </w:p>
        </w:tc>
        <w:tc>
          <w:tcPr>
            <w:tcW w:type="dxa" w:w="4479"/>
          </w:tcPr>
          <w:p>
            <w:pPr>
              <w:spacing w:after="0" w:line="320" w:lineRule="exact"/>
              <w:jc w:val="left"/>
            </w:pPr>
            <w:r/>
            <w:r>
              <w:rPr>
                <w:sz w:val="20"/>
              </w:rPr>
              <w:t>取消人次 × 单日单价 × 50%</w:t>
            </w:r>
          </w:p>
        </w:tc>
      </w:tr>
      <w:tr>
        <w:tc>
          <w:tcPr>
            <w:tcW w:type="dxa" w:w="4479"/>
          </w:tcPr>
          <w:p>
            <w:pPr>
              <w:spacing w:after="0" w:line="320" w:lineRule="exact"/>
              <w:jc w:val="left"/>
            </w:pPr>
            <w:r/>
            <w:r>
              <w:rPr>
                <w:sz w:val="20"/>
              </w:rPr>
              <w:t>服务人员已到场</w:t>
            </w:r>
          </w:p>
        </w:tc>
        <w:tc>
          <w:tcPr>
            <w:tcW w:type="dxa" w:w="4479"/>
          </w:tcPr>
          <w:p>
            <w:pPr>
              <w:spacing w:after="0" w:line="320" w:lineRule="exact"/>
              <w:jc w:val="left"/>
            </w:pPr>
            <w:r/>
            <w:r>
              <w:rPr>
                <w:sz w:val="20"/>
              </w:rPr>
              <w:t>按第 5.4 条全额计费</w:t>
            </w:r>
          </w:p>
        </w:tc>
      </w:tr>
    </w:tbl>
    <w:p>
      <w:pPr/>
      <w:r>
        <w:rPr/>
        <w:t>「人次」＝取消人数 × 被取消天数；多日项目按每个被取消日分别计算；「单日单价」以项目确认单「计价基准」为准。</w:t>
      </w:r>
    </w:p>
    <w:p>
      <w:pPr>
        <w:tabs>
          <w:tab w:pos="510" w:val="left"/>
        </w:tabs>
        <w:ind w:left="510" w:hanging="510"/>
      </w:pPr>
      <w:r>
        <w:rPr>
          <w:b/>
        </w:rPr>
        <w:t>6.2</w:t>
        <w:tab/>
        <w:t>不满 72 小时取消的，取消补偿费每人次不低于人民币 10 元；同一次书面通知的取消补偿费合计不低于人民币 500 元；但取消补偿费合计不超过被取消部分按约定单价计算的预计费用。</w:t>
      </w:r>
    </w:p>
    <w:p>
      <w:pPr>
        <w:tabs>
          <w:tab w:pos="510" w:val="left"/>
        </w:tabs>
        <w:ind w:left="510" w:hanging="510"/>
      </w:pPr>
      <w:r>
        <w:rPr>
          <w:b/>
        </w:rPr>
        <w:t>6.3</w:t>
        <w:tab/>
        <w:t>活动因甲方或其客户、场地方原因延期的，视为取消原日期需求，按本条处理；双方另行约定新日期的除外。</w:t>
      </w:r>
    </w:p>
    <w:p>
      <w:pPr>
        <w:pStyle w:val="3"/>
      </w:pPr>
      <w:r>
        <w:rPr/>
        <w:t>第七条 预付款</w:t>
      </w:r>
    </w:p>
    <w:p>
      <w:pPr>
        <w:tabs>
          <w:tab w:pos="510" w:val="left"/>
        </w:tabs>
        <w:ind w:left="510" w:hanging="510"/>
      </w:pPr>
      <w:r>
        <w:rPr>
          <w:b/>
        </w:rPr>
        <w:t>7.1</w:t>
        <w:tab/>
        <w:t>项目确认单约定预付款的，甲方应按约定的金额和时间支付；乙方收到预付款后开始安排招募。项目确认单未约定预付款的，本条不适用。</w:t>
      </w:r>
    </w:p>
    <w:p>
      <w:pPr>
        <w:tabs>
          <w:tab w:pos="510" w:val="left"/>
        </w:tabs>
        <w:ind w:left="510" w:hanging="510"/>
      </w:pPr>
      <w:r>
        <w:rPr/>
        <w:t>7.2</w:t>
        <w:tab/>
        <w:t>预付款在该项目结算时等额抵扣。</w:t>
      </w:r>
    </w:p>
    <w:p>
      <w:pPr>
        <w:tabs>
          <w:tab w:pos="510" w:val="left"/>
        </w:tabs>
        <w:ind w:left="510" w:hanging="510"/>
      </w:pPr>
      <w:r>
        <w:rPr/>
        <w:t>7.3</w:t>
        <w:tab/>
        <w:t>因乙方原因未能安排任何服务人员到岗的，乙方全额退还预付款；部分到岗的，抵扣实际费用后多余部分退还。</w:t>
      </w:r>
    </w:p>
    <w:p>
      <w:pPr>
        <w:tabs>
          <w:tab w:pos="510" w:val="left"/>
        </w:tabs>
        <w:ind w:left="510" w:hanging="510"/>
      </w:pPr>
      <w:r>
        <w:rPr>
          <w:b/>
        </w:rPr>
        <w:t>7.4</w:t>
        <w:tab/>
        <w:t>甲方取消需求的，预付款先抵扣第六条取消补偿费，多余部分退还，不足部分甲方补足。</w:t>
      </w:r>
    </w:p>
    <w:p>
      <w:pPr>
        <w:tabs>
          <w:tab w:pos="510" w:val="left"/>
        </w:tabs>
        <w:ind w:left="510" w:hanging="510"/>
      </w:pPr>
      <w:r>
        <w:rPr/>
        <w:t>7.5</w:t>
        <w:tab/>
        <w:t>预付款不具有定金性质，不适用定金罚则。</w:t>
      </w:r>
    </w:p>
    <w:p>
      <w:pPr>
        <w:pStyle w:val="3"/>
      </w:pPr>
      <w:r>
        <w:rPr/>
        <w:t>第八条 结算、发票与税费</w:t>
      </w:r>
    </w:p>
    <w:p>
      <w:pPr>
        <w:tabs>
          <w:tab w:pos="510" w:val="left"/>
        </w:tabs>
        <w:ind w:left="510" w:hanging="510"/>
      </w:pPr>
      <w:r>
        <w:rPr>
          <w:b/>
        </w:rPr>
        <w:t>8.1</w:t>
        <w:tab/>
        <w:t>乙方在每个结算周期结束后提交结算单；甲方确认后，乙方开具发票；甲方应于收到发票后 3 个工作日内付款，项目确认单另有约定的从其约定。</w:t>
      </w:r>
    </w:p>
    <w:p>
      <w:pPr>
        <w:tabs>
          <w:tab w:pos="510" w:val="left"/>
        </w:tabs>
        <w:ind w:left="510" w:hanging="510"/>
      </w:pPr>
      <w:r>
        <w:rPr/>
        <w:t>8.2</w:t>
        <w:tab/>
        <w:t>发票与税费：</w:t>
      </w:r>
    </w:p>
    <w:p>
      <w:pPr/>
      <w:r>
        <w:rPr/>
        <w:t xml:space="preserve">乙方开具增值税专用发票，类目为「人力资源服务费」。服务费用为不含税价，甲方另行承担税费，按服务费用的 ［专票税点·读知识库］ 计。</w:t>
      </w:r>
    </w:p>
    <w:p>
      <w:pPr>
        <w:tabs>
          <w:tab w:pos="510" w:val="left"/>
        </w:tabs>
        <w:ind w:left="510" w:hanging="510"/>
      </w:pPr>
      <w:r>
        <w:rPr/>
        <w:t>8.3</w:t>
        <w:tab/>
        <w:t>开票抬头、签约主体与付款主体须一致；甲方变更开票信息的，应提前书面通知乙方。</w:t>
      </w:r>
    </w:p>
    <w:p>
      <w:pPr>
        <w:tabs>
          <w:tab w:pos="510" w:val="left"/>
        </w:tabs>
        <w:ind w:left="510" w:hanging="510"/>
      </w:pPr>
      <w:r>
        <w:rPr>
          <w:b/>
        </w:rPr>
        <w:t>8.4</w:t>
        <w:tab/>
        <w:t>甲方对结算单有异议的，应于收到后 2 个工作日内书面提出具体异议项；逾期未提出的，视为确认。无异议部分应按期支付；甲方不得以内部审批流程或未收到其客户款项为由延迟付款，不得单方扣减应付款项。</w:t>
      </w:r>
    </w:p>
    <w:p>
      <w:pPr>
        <w:tabs>
          <w:tab w:pos="510" w:val="left"/>
        </w:tabs>
        <w:ind w:left="510" w:hanging="510"/>
      </w:pPr>
      <w:r>
        <w:rPr>
          <w:b/>
        </w:rPr>
        <w:t>8.5</w:t>
        <w:tab/>
        <w:t>甲方未经乙方书面同意直接向服务人员支付报酬的，不抵扣应付乙方的服务费用。</w:t>
      </w:r>
    </w:p>
    <w:p>
      <w:pPr>
        <w:tabs>
          <w:tab w:pos="510" w:val="left"/>
        </w:tabs>
        <w:ind w:left="510" w:hanging="510"/>
      </w:pPr>
      <w:r>
        <w:rPr/>
        <w:t>8.6</w:t>
        <w:tab/>
        <w:t>乙方收款账户：</w:t>
      </w:r>
    </w:p>
    <w:tbl>
      <w:tblPr>
        <w:tblStyle w:val="33"/>
        <w:tblW w:type="auto" w:w="0"/>
        <w:tblLook w:firstColumn="1" w:firstRow="1" w:lastColumn="0" w:lastRow="0" w:noHBand="0" w:noVBand="1" w:val="04A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0" w:type="dxa"/>
          <w:bottom w:w="50" w:type="dxa"/>
          <w:left w:w="100" w:type="dxa"/>
          <w:right w:w="100" w:type="dxa"/>
        </w:tblCellMar>
        <w:tblLayout w:type="fixed"/>
        <w:tblInd w:w="510" w:type="dxa"/>
      </w:tblPr>
      <w:tblGrid>
        <w:gridCol w:w="1701"/>
        <w:gridCol w:w="6747"/>
      </w:tblGrid>
      <w:tr>
        <w:tc>
          <w:tcPr>
            <w:tcW w:type="dxa" w:w="1701"/>
            <w:shd w:val="clear" w:color="auto" w:fill="F2F2F2"/>
          </w:tcPr>
          <w:p>
            <w:pPr>
              <w:spacing w:after="0" w:line="320" w:lineRule="exact"/>
              <w:jc w:val="left"/>
            </w:pPr>
            <w:r/>
            <w:r>
              <w:rPr>
                <w:sz w:val="21"/>
              </w:rPr>
              <w:t>户名</w:t>
            </w:r>
          </w:p>
        </w:tc>
        <w:tc>
          <w:tcPr>
            <w:tcW w:type="dxa" w:w="6746"/>
          </w:tcPr>
          <w:p>
            <w:pPr>
              <w:spacing w:after="0" w:line="320" w:lineRule="exact"/>
              <w:jc w:val="left"/>
            </w:pPr>
            <w:r/>
            <w:r>
              <w:rPr>
                <w:sz w:val="21"/>
              </w:rPr>
              <w:t xml:space="preserve">杭州昇业数科技有限公司</w:t>
            </w:r>
          </w:p>
        </w:tc>
      </w:tr>
      <w:tr>
        <w:tc>
          <w:tcPr>
            <w:tcW w:type="dxa" w:w="1701"/>
            <w:shd w:val="clear" w:color="auto" w:fill="F2F2F2"/>
          </w:tcPr>
          <w:p>
            <w:pPr>
              <w:spacing w:after="0" w:line="320" w:lineRule="exact"/>
              <w:jc w:val="left"/>
            </w:pPr>
            <w:r/>
            <w:r>
              <w:rPr>
                <w:sz w:val="21"/>
              </w:rPr>
              <w:t>账号</w:t>
            </w:r>
          </w:p>
        </w:tc>
        <w:tc>
          <w:tcPr>
            <w:tcW w:type="dxa" w:w="6746"/>
          </w:tcPr>
          <w:p>
            <w:pPr>
              <w:spacing w:after="0" w:line="320" w:lineRule="exact"/>
              <w:jc w:val="left"/>
            </w:pPr>
            <w:r/>
            <w:r>
              <w:rPr>
                <w:sz w:val="21"/>
              </w:rPr>
              <w:t xml:space="preserve">0000 0000 0000</w:t>
            </w:r>
          </w:p>
        </w:tc>
      </w:tr>
      <w:tr>
        <w:tc>
          <w:tcPr>
            <w:tcW w:type="dxa" w:w="1701"/>
            <w:shd w:val="clear" w:color="auto" w:fill="F2F2F2"/>
          </w:tcPr>
          <w:p>
            <w:pPr>
              <w:spacing w:after="0" w:line="320" w:lineRule="exact"/>
              <w:jc w:val="left"/>
            </w:pPr>
            <w:r/>
            <w:r>
              <w:rPr>
                <w:sz w:val="21"/>
              </w:rPr>
              <w:t>开户行</w:t>
            </w:r>
          </w:p>
        </w:tc>
        <w:tc>
          <w:tcPr>
            <w:tcW w:type="dxa" w:w="6746"/>
          </w:tcPr>
          <w:p>
            <w:pPr>
              <w:spacing w:after="0" w:line="320" w:lineRule="exact"/>
              <w:jc w:val="left"/>
            </w:pPr>
            <w:r/>
            <w:r>
              <w:rPr>
                <w:sz w:val="21"/>
              </w:rPr>
              <w:t xml:space="preserve">某银行钱塘支行</w:t>
            </w:r>
          </w:p>
        </w:tc>
      </w:tr>
      <w:tr>
        <w:tc>
          <w:tcPr>
            <w:tcW w:type="dxa" w:w="1701"/>
            <w:shd w:val="clear" w:color="auto" w:fill="F2F2F2"/>
          </w:tcPr>
          <w:p>
            <w:pPr>
              <w:spacing w:after="0" w:line="320" w:lineRule="exact"/>
              <w:jc w:val="left"/>
            </w:pPr>
            <w:r/>
            <w:r>
              <w:rPr>
                <w:sz w:val="21"/>
              </w:rPr>
              <w:t>税号</w:t>
            </w:r>
          </w:p>
        </w:tc>
        <w:tc>
          <w:tcPr>
            <w:tcW w:type="dxa" w:w="6746"/>
          </w:tcPr>
          <w:p>
            <w:pPr>
              <w:spacing w:after="0" w:line="320" w:lineRule="exact"/>
              <w:jc w:val="left"/>
            </w:pPr>
            <w:r/>
            <w:r>
              <w:rPr>
                <w:sz w:val="21"/>
              </w:rPr>
              <w:t xml:space="preserve">91330000TEST</w:t>
            </w:r>
          </w:p>
        </w:tc>
      </w:tr>
    </w:tbl>
    <w:p>
      <w:pPr>
        <w:tabs>
          <w:tab w:pos="510" w:val="left"/>
        </w:tabs>
        <w:spacing w:before="160"/>
        <w:ind w:left="510" w:hanging="510"/>
      </w:pPr>
      <w:r>
        <w:rPr/>
        <w:t>8.7</w:t>
        <w:tab/>
        <w:t>甲方开票信息（由甲方填写或核对，如有变更应书面通知乙方）：</w:t>
      </w:r>
    </w:p>
    <w:tbl>
      <w:tblPr>
        <w:tblStyle w:val="33"/>
        <w:tblW w:type="auto" w:w="0"/>
        <w:tblLook w:firstColumn="1" w:firstRow="1" w:lastColumn="0" w:lastRow="0" w:noHBand="0" w:noVBand="1" w:val="04A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0" w:type="dxa"/>
          <w:bottom w:w="50" w:type="dxa"/>
          <w:left w:w="100" w:type="dxa"/>
          <w:right w:w="100" w:type="dxa"/>
        </w:tblCellMar>
        <w:tblLayout w:type="fixed"/>
        <w:tblInd w:w="510" w:type="dxa"/>
      </w:tblPr>
      <w:tblGrid>
        <w:gridCol w:w="1701"/>
        <w:gridCol w:w="6747"/>
      </w:tblGrid>
      <w:tr>
        <w:tc>
          <w:tcPr>
            <w:tcW w:type="dxa" w:w="1701"/>
            <w:shd w:val="clear" w:color="auto" w:fill="F2F2F2"/>
          </w:tcPr>
          <w:p>
            <w:pPr>
              <w:spacing w:after="0" w:line="320" w:lineRule="exact"/>
              <w:jc w:val="left"/>
            </w:pPr>
            <w:r/>
            <w:r>
              <w:rPr>
                <w:sz w:val="21"/>
              </w:rPr>
              <w:t>开票名称</w:t>
            </w:r>
          </w:p>
        </w:tc>
        <w:tc>
          <w:tcPr>
            <w:tcW w:type="dxa" w:w="6746"/>
          </w:tcPr>
          <w:p>
            <w:pPr>
              <w:spacing w:after="0" w:line="320" w:lineRule="exact"/>
              <w:jc w:val="left"/>
            </w:pPr>
            <w:r/>
            <w:r>
              <w:rPr>
                <w:sz w:val="21"/>
              </w:rPr>
              <w:t xml:space="preserve">测试甲方科技有限公司</w:t>
            </w:r>
          </w:p>
        </w:tc>
      </w:tr>
      <w:tr>
        <w:tc>
          <w:tcPr>
            <w:tcW w:type="dxa" w:w="1701"/>
            <w:shd w:val="clear" w:color="auto" w:fill="F2F2F2"/>
          </w:tcPr>
          <w:p>
            <w:pPr>
              <w:spacing w:after="0" w:line="320" w:lineRule="exact"/>
              <w:jc w:val="left"/>
            </w:pPr>
            <w:r/>
            <w:r>
              <w:rPr>
                <w:sz w:val="21"/>
              </w:rPr>
              <w:t>纳税人识别号</w:t>
            </w:r>
          </w:p>
        </w:tc>
        <w:tc>
          <w:tcPr>
            <w:tcW w:type="dxa" w:w="6746"/>
          </w:tcPr>
          <w:p>
            <w:pPr>
              <w:spacing w:after="0" w:line="320" w:lineRule="exact"/>
              <w:jc w:val="left"/>
            </w:pPr>
            <w:r/>
            <w:r>
              <w:rPr>
                <w:sz w:val="21"/>
              </w:rPr>
              <w:t xml:space="preserve">91330000JIA</w:t>
            </w:r>
          </w:p>
        </w:tc>
      </w:tr>
      <w:tr>
        <w:tc>
          <w:tcPr>
            <w:tcW w:type="dxa" w:w="1701"/>
            <w:shd w:val="clear" w:color="auto" w:fill="F2F2F2"/>
          </w:tcPr>
          <w:p>
            <w:pPr>
              <w:spacing w:after="0" w:line="320" w:lineRule="exact"/>
              <w:jc w:val="left"/>
            </w:pPr>
            <w:r/>
            <w:r>
              <w:rPr>
                <w:sz w:val="21"/>
              </w:rPr>
              <w:t>地址、电话</w:t>
            </w:r>
          </w:p>
        </w:tc>
        <w:tc>
          <w:tcPr>
            <w:tcW w:type="dxa" w:w="6746"/>
          </w:tcPr>
          <w:p>
            <w:pPr>
              <w:spacing w:after="0" w:line="320" w:lineRule="exact"/>
              <w:jc w:val="left"/>
            </w:pPr>
            <w:r/>
            <w:r>
              <w:rPr>
                <w:sz w:val="21"/>
              </w:rPr>
              <w:t xml:space="preserve">杭州市某路 1 号 0571-00000000</w:t>
            </w:r>
          </w:p>
        </w:tc>
      </w:tr>
      <w:tr>
        <w:tc>
          <w:tcPr>
            <w:tcW w:type="dxa" w:w="1701"/>
            <w:shd w:val="clear" w:color="auto" w:fill="F2F2F2"/>
          </w:tcPr>
          <w:p>
            <w:pPr>
              <w:spacing w:after="0" w:line="320" w:lineRule="exact"/>
              <w:jc w:val="left"/>
            </w:pPr>
            <w:r/>
            <w:r>
              <w:rPr>
                <w:sz w:val="21"/>
              </w:rPr>
              <w:t>开户银行</w:t>
            </w:r>
          </w:p>
        </w:tc>
        <w:tc>
          <w:tcPr>
            <w:tcW w:type="dxa" w:w="6746"/>
          </w:tcPr>
          <w:p>
            <w:pPr>
              <w:spacing w:after="0" w:line="320" w:lineRule="exact"/>
              <w:jc w:val="left"/>
            </w:pPr>
            <w:r/>
            <w:r>
              <w:rPr>
                <w:sz w:val="21"/>
              </w:rPr>
              <w:t xml:space="preserve">某银行某支行</w:t>
            </w:r>
          </w:p>
        </w:tc>
      </w:tr>
      <w:tr>
        <w:tc>
          <w:tcPr>
            <w:tcW w:type="dxa" w:w="1701"/>
            <w:shd w:val="clear" w:color="auto" w:fill="F2F2F2"/>
          </w:tcPr>
          <w:p>
            <w:pPr>
              <w:spacing w:after="0" w:line="320" w:lineRule="exact"/>
              <w:jc w:val="left"/>
            </w:pPr>
            <w:r/>
            <w:r>
              <w:rPr>
                <w:sz w:val="21"/>
              </w:rPr>
              <w:t>开户账号</w:t>
            </w:r>
          </w:p>
        </w:tc>
        <w:tc>
          <w:tcPr>
            <w:tcW w:type="dxa" w:w="6746"/>
          </w:tcPr>
          <w:p>
            <w:pPr>
              <w:spacing w:after="0" w:line="320" w:lineRule="exact"/>
              <w:jc w:val="left"/>
            </w:pPr>
            <w:r/>
            <w:r>
              <w:rPr>
                <w:sz w:val="21"/>
              </w:rPr>
              <w:t xml:space="preserve">1111 2222 3333</w:t>
            </w:r>
          </w:p>
        </w:tc>
      </w:tr>
    </w:tbl>
    <w:p>
      <w:pPr>
        <w:pStyle w:val="3"/>
        <w:spacing w:before="160"/>
      </w:pPr>
      <w:r>
        <w:rPr/>
        <w:t>第九条 双方权利义务</w:t>
      </w:r>
    </w:p>
    <w:p>
      <w:pPr>
        <w:tabs>
          <w:tab w:pos="510" w:val="left"/>
        </w:tabs>
        <w:ind w:left="510" w:hanging="510"/>
      </w:pPr>
      <w:r>
        <w:rPr/>
        <w:t>9.1</w:t>
        <w:tab/>
        <w:t>甲方应：</w:t>
      </w:r>
    </w:p>
    <w:p>
      <w:pPr>
        <w:ind w:left="510"/>
      </w:pPr>
      <w:r>
        <w:rPr/>
        <w:t>（1）保证提供的需求、岗位、工作内容、地点等信息真实、准确；</w:t>
      </w:r>
    </w:p>
    <w:p>
      <w:pPr>
        <w:ind w:left="510"/>
      </w:pPr>
      <w:r>
        <w:rPr/>
        <w:t>（2）保证其控制的场地、设备、作业条件符合安全要求，提前告知乙方及服务人员现场安全风险；</w:t>
      </w:r>
    </w:p>
    <w:p>
      <w:pPr>
        <w:ind w:left="510"/>
      </w:pPr>
      <w:r>
        <w:rPr/>
        <w:t>（3）未经服务人员本人书面同意，不得在宣传、直播、广告中使用服务人员肖像；</w:t>
      </w:r>
    </w:p>
    <w:p>
      <w:pPr>
        <w:ind w:left="510"/>
      </w:pPr>
      <w:r>
        <w:rPr/>
        <w:t>（4）不得要求服务人员从事违法、与约定明显不符或存在重大安全隐患的工作；</w:t>
      </w:r>
    </w:p>
    <w:p>
      <w:pPr>
        <w:ind w:left="510"/>
      </w:pPr>
      <w:r>
        <w:rPr>
          <w:b/>
        </w:rPr>
        <w:t>（5）甲方及其关联方不得在本协议有效期内及终止后 6 个月内，私下招揽乙方安排的服务人员为甲方提供同类服务；违反的，每招揽一人，按乙方就该人员向甲方收取的最近 30 日服务费用向乙方支付补偿。</w:t>
      </w:r>
    </w:p>
    <w:p>
      <w:pPr>
        <w:tabs>
          <w:tab w:pos="510" w:val="left"/>
        </w:tabs>
        <w:ind w:left="510" w:hanging="510"/>
      </w:pPr>
      <w:r>
        <w:rPr/>
        <w:t>9.2</w:t>
        <w:tab/>
        <w:t>乙方应：</w:t>
      </w:r>
    </w:p>
    <w:p>
      <w:pPr>
        <w:ind w:left="510"/>
      </w:pPr>
      <w:r>
        <w:rPr/>
        <w:t>（1）按项目确认单要求招募、安排服务人员，如实告知其工作内容、地点、时间和报酬；</w:t>
      </w:r>
    </w:p>
    <w:p>
      <w:pPr>
        <w:ind w:left="510"/>
      </w:pPr>
      <w:r>
        <w:rPr/>
        <w:t>（2）负责服务人员的出勤核对和报酬发放；</w:t>
      </w:r>
    </w:p>
    <w:p>
      <w:pPr>
        <w:ind w:left="510"/>
      </w:pPr>
      <w:r>
        <w:rPr/>
        <w:t>（3）服务人员不符合约定要求的，经甲方提出后及时更换或补位，无法补位的按第 5.5 条处理；</w:t>
      </w:r>
    </w:p>
    <w:p>
      <w:pPr>
        <w:ind w:left="510"/>
      </w:pPr>
      <w:r>
        <w:rPr/>
        <w:t>（4）要求服务人员遵守甲方现场安全规定和保密要求。</w:t>
      </w:r>
    </w:p>
    <w:p>
      <w:pPr>
        <w:tabs>
          <w:tab w:pos="510" w:val="left"/>
        </w:tabs>
        <w:ind w:left="510" w:hanging="510"/>
      </w:pPr>
      <w:r>
        <w:rPr>
          <w:b/>
        </w:rPr>
        <w:t>9.3</w:t>
        <w:tab/>
        <w:t>甲方逾期付款超过 7 日的，乙方有权暂停后续服务，暂停期间不视为乙方违约。</w:t>
      </w:r>
    </w:p>
    <w:p>
      <w:pPr>
        <w:pStyle w:val="3"/>
      </w:pPr>
      <w:r>
        <w:rPr/>
        <w:t>第十条 责任划分</w:t>
      </w:r>
    </w:p>
    <w:p>
      <w:pPr>
        <w:tabs>
          <w:tab w:pos="510" w:val="left"/>
        </w:tabs>
        <w:ind w:left="510" w:hanging="510"/>
      </w:pPr>
      <w:r>
        <w:rPr/>
        <w:t>10.1</w:t>
        <w:tab/>
        <w:t>双方各自对自身过错造成的损失承担责任。</w:t>
      </w:r>
    </w:p>
    <w:p>
      <w:pPr>
        <w:tabs>
          <w:tab w:pos="510" w:val="left"/>
        </w:tabs>
        <w:ind w:left="510" w:hanging="510"/>
      </w:pPr>
      <w:r>
        <w:rPr>
          <w:b/>
        </w:rPr>
        <w:t>10.2</w:t>
        <w:tab/>
        <w:t>服务人员在工作期间发生人身伤害的，按各方过错承担责任：因甲方未提供安全工作条件、违反安全规定、强令冒险作业或甲方现场指令造成的，由甲方承担，并补偿乙方因此对外支付的赔偿、和解金、诉讼费、律师费。本条不构成任何一方对服务人员人身损害的免责。</w:t>
      </w:r>
    </w:p>
    <w:p>
      <w:pPr>
        <w:tabs>
          <w:tab w:pos="510" w:val="left"/>
        </w:tabs>
        <w:ind w:left="510" w:hanging="510"/>
      </w:pPr>
      <w:r>
        <w:rPr/>
        <w:t>10.3</w:t>
        <w:tab/>
        <w:t>服务人员因故意或重大过失造成甲方财产损失的，乙方协助甲方向责任人追偿；乙方未尽招募审核义务的，在过错范围内承担责任。</w:t>
      </w:r>
    </w:p>
    <w:p>
      <w:pPr>
        <w:tabs>
          <w:tab w:pos="510" w:val="left"/>
        </w:tabs>
        <w:ind w:left="510" w:hanging="510"/>
      </w:pPr>
      <w:r>
        <w:rPr>
          <w:b/>
        </w:rPr>
        <w:t>10.4</w:t>
        <w:tab/>
        <w:t>乙方在本协议项下向甲方承担的赔偿责任，按每份项目确认单分别计算，累计不超过该项目确认单载明的预计费用总额的 50%（未载明总额的，按其预计人数、预计时长或天数与单价计算）；没有对应项目确认单的，以人民币 5,000 元与此前 12 个月甲方已付服务费用总额中的较高者为限。同一事项不重复承担违约金和赔偿。乙方故意或重大过失、造成人身损害，以及法律规定不得限制的责任，不受本款限制。甲方的付款义务及甲方依本协议应承担的其他责任，不适用本款。</w:t>
      </w:r>
    </w:p>
    <w:p>
      <w:pPr>
        <w:tabs>
          <w:tab w:pos="510" w:val="left"/>
        </w:tabs>
        <w:ind w:left="510" w:hanging="510"/>
      </w:pPr>
      <w:r>
        <w:rPr>
          <w:b/>
        </w:rPr>
        <w:t>10.5</w:t>
        <w:tab/>
        <w:t>因甲方原因（包括甲方中途退回服务人员、违法指令、违反第 2.5 条或第 2.6 条、未提供安全工作条件）引起服务人员向乙方或甲方主张权利的，由甲方承担。乙方先行支付的，甲方应在收到乙方书面通知及支付凭证后 7 日内补偿；甲方对责任划分有异议的，可在补偿后另行主张。</w:t>
      </w:r>
    </w:p>
    <w:p>
      <w:pPr>
        <w:pStyle w:val="3"/>
      </w:pPr>
      <w:r>
        <w:rPr/>
        <w:t>第十一条 违约责任</w:t>
      </w:r>
    </w:p>
    <w:p>
      <w:pPr>
        <w:tabs>
          <w:tab w:pos="510" w:val="left"/>
        </w:tabs>
        <w:ind w:left="510" w:hanging="510"/>
      </w:pPr>
      <w:r>
        <w:rPr>
          <w:b/>
        </w:rPr>
        <w:t>11.1</w:t>
        <w:tab/>
        <w:t>甲方逾期付款的，每逾期一日按应付未付金额的 0.1%向乙方支付违约金，累计不超过应付未付金额的 30%；逾期超过 30 日的，乙方有权解除本协议，并要求甲方支付全部应付费用及为追索欠款支出的律师费、诉讼费、保全费等合理费用。</w:t>
      </w:r>
    </w:p>
    <w:p>
      <w:pPr>
        <w:tabs>
          <w:tab w:pos="510" w:val="left"/>
        </w:tabs>
        <w:ind w:left="510" w:hanging="510"/>
      </w:pPr>
      <w:r>
        <w:rPr>
          <w:b/>
        </w:rPr>
        <w:t>11.2</w:t>
        <w:tab/>
        <w:t>甲方按第 3.3 条提前提出需求后，乙方无正当理由未安排项目确认单约定的服务人员、且未在当天补位的，缺岗部分不计费；由此给甲方造成的有证据证明的直接损失，由乙方在第 10.4 条限额内承担。第 3.3 条、第 5.4 条所述情形，第 5.5 条第一句所述已安排人员临时缺岗的情形，以及甲方未按第 7.1 条支付预付款致乙方未开始招募的，不适用本款。</w:t>
      </w:r>
    </w:p>
    <w:p>
      <w:pPr>
        <w:tabs>
          <w:tab w:pos="510" w:val="left"/>
        </w:tabs>
        <w:ind w:left="510" w:hanging="510"/>
      </w:pPr>
      <w:r>
        <w:rPr/>
        <w:t>11.3</w:t>
        <w:tab/>
        <w:t>一方违约后，另一方应采取合理措施防止损失扩大；未采取措施的，不得就扩大部分要求赔偿。</w:t>
      </w:r>
    </w:p>
    <w:p>
      <w:pPr>
        <w:pStyle w:val="3"/>
      </w:pPr>
      <w:r>
        <w:rPr/>
        <w:t>第十二条 保密与个人信息</w:t>
      </w:r>
    </w:p>
    <w:p>
      <w:pPr>
        <w:tabs>
          <w:tab w:pos="510" w:val="left"/>
        </w:tabs>
        <w:ind w:left="510" w:hanging="510"/>
      </w:pPr>
      <w:r>
        <w:rPr/>
        <w:t>12.1</w:t>
        <w:tab/>
        <w:t>双方对因合作知悉的对方商业信息负有保密义务，保密期限至本协议终止后 2 年。</w:t>
      </w:r>
    </w:p>
    <w:p>
      <w:pPr>
        <w:tabs>
          <w:tab w:pos="510" w:val="left"/>
        </w:tabs>
        <w:ind w:left="510" w:hanging="510"/>
      </w:pPr>
      <w:r>
        <w:rPr>
          <w:b/>
        </w:rPr>
        <w:t>12.2</w:t>
        <w:tab/>
        <w:t>甲方仅可为本协议目的、在必要范围内使用乙方提供的服务人员个人信息，不得提供给第三方，项目结束后应删除；本款义务不受第 12.1 条期限限制。甲方不得要求服务人员提供超出岗位必要范围的个人信息或安装甲方应用程序。</w:t>
      </w:r>
    </w:p>
    <w:p>
      <w:pPr>
        <w:pStyle w:val="3"/>
      </w:pPr>
      <w:r>
        <w:rPr/>
        <w:t>第十三条 不可抗力</w:t>
      </w:r>
    </w:p>
    <w:p>
      <w:pPr>
        <w:tabs>
          <w:tab w:pos="510" w:val="left"/>
        </w:tabs>
        <w:ind w:left="510" w:hanging="510"/>
      </w:pPr>
      <w:r>
        <w:rPr/>
        <w:t>13.1</w:t>
        <w:tab/>
        <w:t>因地震、台风、暴雨等极端天气、火灾、疫情防控措施、政府行为等不能预见、不能避免且不能克服的情况，致使一方不能履行的，在影响范围内免责；已发生的服务按实际出勤结算。</w:t>
      </w:r>
    </w:p>
    <w:p>
      <w:pPr>
        <w:tabs>
          <w:tab w:pos="510" w:val="left"/>
        </w:tabs>
        <w:ind w:left="510" w:hanging="510"/>
      </w:pPr>
      <w:r>
        <w:rPr/>
        <w:t>13.2</w:t>
        <w:tab/>
        <w:t>受影响一方应及时通知对方，并在 15 日内提供证明。不可抗力持续超过 30 日的，任一方可解除本协议。</w:t>
      </w:r>
    </w:p>
    <w:p>
      <w:pPr>
        <w:pStyle w:val="3"/>
      </w:pPr>
      <w:r>
        <w:rPr/>
        <w:t>第十四条 期限与终止</w:t>
      </w:r>
    </w:p>
    <w:p>
      <w:pPr>
        <w:tabs>
          <w:tab w:pos="510" w:val="left"/>
        </w:tabs>
        <w:ind w:left="510" w:hanging="510"/>
      </w:pPr>
      <w:r>
        <w:rPr>
          <w:b/>
        </w:rPr>
        <w:t>14.1</w:t>
        <w:tab/>
        <w:t xml:space="preserve">本协议自双方盖章之日起生效，有效期至 2027 年 11 月 3 日。期满前 30 日双方均未书面提出不续约的，自动续期一年，续期次数不限。</w:t>
      </w:r>
    </w:p>
    <w:p>
      <w:pPr>
        <w:tabs>
          <w:tab w:pos="510" w:val="left"/>
        </w:tabs>
        <w:ind w:left="510" w:hanging="510"/>
      </w:pPr>
      <w:r>
        <w:rPr/>
        <w:t>14.2</w:t>
        <w:tab/>
        <w:t>任一方可提前 15 日书面通知对方解除本协议，不以对方违约为前提；一方违约的，另按第 14.4 条处理。</w:t>
      </w:r>
    </w:p>
    <w:p>
      <w:pPr>
        <w:tabs>
          <w:tab w:pos="510" w:val="left"/>
        </w:tabs>
        <w:ind w:left="510" w:hanging="510"/>
      </w:pPr>
      <w:r>
        <w:rPr>
          <w:b/>
        </w:rPr>
        <w:t>14.3</w:t>
        <w:tab/>
        <w:t>本协议终止时已确认的项目确认单，按下列方式处理，已提供的服务均按约定结算：（1）期满不续约、乙方依第 14.2 条解除的：已确认的项目确认单继续履行至该项目结束；（2）甲方依第 14.2 条解除的：已开始履行的继续履行至结束，尚未开始的按第六条取消处理，通知时间自甲方解除通知送达乙方时起算；（3）一方因对方违约依第 11.1 条或第 14.4 条解除的：守约方可选择继续履行或停止履行，停止履行的，违约方按本协议承担违约责任；（4）因不可抗力解除的：按第十三条处理。继续履行的项目确认单，继续适用本协议及该项目确认单的约定。</w:t>
      </w:r>
    </w:p>
    <w:p>
      <w:pPr>
        <w:tabs>
          <w:tab w:pos="510" w:val="left"/>
        </w:tabs>
        <w:ind w:left="510" w:hanging="510"/>
      </w:pPr>
      <w:r>
        <w:rPr>
          <w:b/>
        </w:rPr>
        <w:t>14.4</w:t>
        <w:tab/>
        <w:t>一方严重违约的，守约方应先书面通知违约方在 5 个工作日内整改；逾期未整改的，守约方可解除本协议。第 8.5 条约定的付款义务、第 9.1(5) 条约定的补偿，以及第 11.1 条约定的解除，按该条执行，不以整改为前提。</w:t>
      </w:r>
    </w:p>
    <w:p>
      <w:pPr>
        <w:pStyle w:val="3"/>
      </w:pPr>
      <w:r>
        <w:rPr/>
        <w:t>第十五条 争议解决</w:t>
      </w:r>
    </w:p>
    <w:p>
      <w:pPr>
        <w:tabs>
          <w:tab w:pos="510" w:val="left"/>
        </w:tabs>
        <w:ind w:left="510" w:hanging="510"/>
      </w:pPr>
      <w:r>
        <w:rPr/>
        <w:t>15.1</w:t>
        <w:tab/>
        <w:t>本协议适用中华人民共和国法律。</w:t>
      </w:r>
    </w:p>
    <w:p>
      <w:pPr>
        <w:tabs>
          <w:tab w:pos="510" w:val="left"/>
        </w:tabs>
        <w:ind w:left="510" w:hanging="510"/>
      </w:pPr>
      <w:r>
        <w:rPr>
          <w:b/>
        </w:rPr>
        <w:t>15.2</w:t>
        <w:tab/>
        <w:t>因本协议发生争议，双方协商不成的，任一方可向乙方住所地（以乙方营业执照登记地址为准）有管辖权的人民法院提起诉讼。</w:t>
      </w:r>
    </w:p>
    <w:p>
      <w:pPr>
        <w:pStyle w:val="3"/>
      </w:pPr>
      <w:r>
        <w:rPr/>
        <w:t>第十六条 其他</w:t>
      </w:r>
    </w:p>
    <w:p>
      <w:pPr>
        <w:tabs>
          <w:tab w:pos="510" w:val="left"/>
        </w:tabs>
        <w:ind w:left="510" w:hanging="510"/>
      </w:pPr>
      <w:r>
        <w:rPr>
          <w:b/>
        </w:rPr>
        <w:t>16.1</w:t>
        <w:tab/>
        <w:t>本协议正文的修改、补充须签署经双方盖章的书面补充协议。双方指定联系人通过企业微信、微信等作出的文字确认，可用于提出和确认需求、确认乙方出具的项目确认单、变更或取消需求、确认出勤与结算、确认超时，但不构成对本协议正文的变更。</w:t>
      </w:r>
    </w:p>
    <w:p>
      <w:pPr>
        <w:tabs>
          <w:tab w:pos="510" w:val="left"/>
        </w:tabs>
        <w:ind w:left="510" w:hanging="510"/>
      </w:pPr>
      <w:r>
        <w:rPr>
          <w:b/>
        </w:rPr>
        <w:t>16.2</w:t>
        <w:tab/>
        <w:t>一方变更指定联系人或联系方式的，应提前 3 个工作日书面通知对方。按首部联系方式发送的通知，发出即视为送达。</w:t>
      </w:r>
    </w:p>
    <w:p>
      <w:pPr>
        <w:tabs>
          <w:tab w:pos="510" w:val="left"/>
        </w:tabs>
        <w:ind w:left="510" w:hanging="510"/>
      </w:pPr>
      <w:r>
        <w:rPr/>
        <w:t>16.3</w:t>
        <w:tab/>
        <w:t>本协议一式两份，双方各执一份，具同等法律效力；盖章扫描件与原件具同等效力。</w:t>
      </w:r>
    </w:p>
    <w:p>
      <w:pPr>
        <w:tabs>
          <w:tab w:pos="510" w:val="left"/>
        </w:tabs>
        <w:ind w:left="510" w:hanging="510"/>
      </w:pPr>
      <w:r>
        <w:rPr/>
        <w:t>16.4</w:t>
        <w:tab/>
        <w:t xml:space="preserve">附件：附件一 项目确认单。</w:t>
      </w:r>
    </w:p>
    <w:p>
      <w:pPr>
        <w:tabs>
          <w:tab w:pos="510" w:val="left"/>
        </w:tabs>
        <w:ind w:left="510" w:hanging="510"/>
      </w:pPr>
      <w:r>
        <w:rPr/>
        <w:t>16.5</w:t>
        <w:tab/>
        <w:t>未经对方书面同意，任一方不得将本协议项下权利义务转让给第三方；乙方委托第三方机构代为发放服务人员报酬的除外。</w:t>
      </w:r>
    </w:p>
    <w:p>
      <w:pPr>
        <w:tabs>
          <w:tab w:pos="510" w:val="left"/>
        </w:tabs>
        <w:ind w:left="510" w:hanging="510"/>
      </w:pPr>
      <w:r>
        <w:rPr>
          <w:b/>
        </w:rPr>
        <w:t>16.6</w:t>
        <w:tab/>
        <w:t>本协议连同附件构成双方就本事项的完整约定，取代双方此前就同一事项的约定；本协议签署前双方已确认的乙方版本项目确认单，自本协议生效之日起作为本协议附件，其效力范围按第 3.2 条确定。</w:t>
      </w:r>
    </w:p>
    <w:p>
      <w:pPr>
        <w:tabs>
          <w:tab w:pos="510" w:val="left"/>
        </w:tabs>
        <w:ind w:left="510" w:hanging="510"/>
      </w:pPr>
      <w:r>
        <w:rPr>
          <w:b/>
        </w:rPr>
        <w:t>16.7</w:t>
        <w:tab/>
        <w:t>本协议每页标注版本号 HT01-v0.7 和页码；纸质签署的双方加盖骑缝章，电子签署的以电子签署平台存证版本为准。对文本的任何修改须以修订模式标示，并依第 16.1 条签署盖章补充协议；未经确认的修改无效。</w:t>
      </w:r>
    </w:p>
    <w:p>
      <w:pPr>
        <w:spacing w:before="120" w:after="280"/>
        <w:jc w:val="center"/>
      </w:pPr>
      <w:r>
        <w:rPr/>
        <w:t>（以下无正文）</w:t>
      </w:r>
    </w:p>
    <w:tbl>
      <w:tblPr>
        <w:tblStyle w:val="33"/>
        <w:tblW w:type="auto" w:w="0"/>
        <w:tblLook w:firstColumn="1" w:firstRow="1" w:lastColumn="0" w:lastRow="0" w:noHBand="0" w:noVBand="1" w:val="04A0"/>
        <w:tblBorders>
          <w:top w:val="nil" w:sz="4" w:space="0" w:color="808080"/>
          <w:left w:val="nil" w:sz="4" w:space="0" w:color="808080"/>
          <w:bottom w:val="nil" w:sz="4" w:space="0" w:color="808080"/>
          <w:right w:val="nil" w:sz="4" w:space="0" w:color="808080"/>
          <w:insideH w:val="nil" w:sz="4" w:space="0" w:color="808080"/>
          <w:insideV w:val="nil" w:sz="4" w:space="0" w:color="808080"/>
        </w:tblBorders>
        <w:tblCellMar>
          <w:top w:w="50" w:type="dxa"/>
          <w:bottom w:w="50" w:type="dxa"/>
          <w:left w:w="100" w:type="dxa"/>
          <w:right w:w="100" w:type="dxa"/>
        </w:tblCellMar>
        <w:tblLayout w:type="fixed"/>
      </w:tblPr>
      <w:tblGrid>
        <w:gridCol w:w="4479"/>
        <w:gridCol w:w="4479"/>
      </w:tblGrid>
      <w:tr>
        <w:tc>
          <w:tcPr>
            <w:tcW w:type="dxa" w:w="4479"/>
          </w:tcPr>
          <w:p>
            <w:pPr>
              <w:spacing w:after="120" w:line="340" w:lineRule="exact"/>
              <w:jc w:val="left"/>
            </w:pPr>
            <w:r/>
            <w:r>
              <w:rPr>
                <w:sz w:val="21"/>
              </w:rPr>
              <w:t xml:space="preserve">甲方（盖章）：测试甲方科技有限公司</w:t>
            </w:r>
          </w:p>
        </w:tc>
        <w:tc>
          <w:tcPr>
            <w:tcW w:type="dxa" w:w="4479"/>
          </w:tcPr>
          <w:p>
            <w:pPr>
              <w:spacing w:after="120" w:line="340" w:lineRule="exact"/>
              <w:jc w:val="left"/>
            </w:pPr>
            <w:r/>
            <w:r>
              <w:rPr>
                <w:sz w:val="21"/>
              </w:rPr>
              <w:t xml:space="preserve">乙方（盖章）：杭州昇业数科技有限公司</w:t>
            </w:r>
          </w:p>
        </w:tc>
      </w:tr>
      <w:tr>
        <w:tc>
          <w:tcPr>
            <w:tcW w:type="dxa" w:w="4479"/>
          </w:tcPr>
          <w:p>
            <w:pPr>
              <w:spacing w:after="120" w:line="340" w:lineRule="exact"/>
              <w:jc w:val="left"/>
            </w:pPr>
            <w:r/>
            <w:r>
              <w:rPr>
                <w:sz w:val="21"/>
              </w:rPr>
              <w:t>授权代表（签字）：</w:t>
            </w:r>
          </w:p>
        </w:tc>
        <w:tc>
          <w:tcPr>
            <w:tcW w:type="dxa" w:w="4479"/>
          </w:tcPr>
          <w:p>
            <w:pPr>
              <w:spacing w:after="120" w:line="340" w:lineRule="exact"/>
              <w:jc w:val="left"/>
            </w:pPr>
            <w:r/>
            <w:r>
              <w:rPr>
                <w:sz w:val="21"/>
              </w:rPr>
              <w:t>授权代表（签字）：</w:t>
            </w:r>
          </w:p>
        </w:tc>
      </w:tr>
      <w:tr>
        <w:tc>
          <w:tcPr>
            <w:tcW w:type="dxa" w:w="4479"/>
          </w:tcPr>
          <w:p>
            <w:pPr>
              <w:spacing w:after="120" w:line="340" w:lineRule="exact"/>
              <w:jc w:val="left"/>
            </w:pPr>
            <w:r/>
            <w:r>
              <w:rPr>
                <w:sz w:val="21"/>
              </w:rPr>
              <w:t>日期：</w:t>
            </w:r>
          </w:p>
        </w:tc>
        <w:tc>
          <w:tcPr>
            <w:tcW w:type="dxa" w:w="4479"/>
          </w:tcPr>
          <w:p>
            <w:pPr>
              <w:spacing w:after="120" w:line="340" w:lineRule="exact"/>
              <w:jc w:val="left"/>
            </w:pPr>
            <w:r/>
            <w:r>
              <w:rPr>
                <w:sz w:val="21"/>
              </w:rPr>
              <w:t>日期：</w:t>
            </w:r>
          </w:p>
        </w:tc>
      </w:tr>
    </w:tbl>
    <w:sectPr>
      <w:headerReference w:type="default" r:id="rId9"/>
      <w:footerReference w:type="default" r:id="rId10"/>
      <w:pgSz w:w="11906" w:h="16838"/>
      <w:pgMar w:top="1417" w:right="1474" w:bottom="1304" w:left="1474" w:header="737" w:footer="73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300000000000000"/>
    <w:charset w:val="80"/>
    <w:family w:val="auto"/>
    <w:pitch w:val="default"/>
    <w:sig w:usb0="E00002FF" w:usb1="7AE7FFFF" w:usb2="00000012" w:usb3="00000000" w:csb0="0002000D" w:csb1="00000000"/>
  </w:font>
  <w:font w:name="ＭＳ 明朝">
    <w:altName w:val="Hiragino Sans"/>
    <w:panose1 w:val="00000000000000000000"/>
    <w:charset w:val="86"/>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sz w:val="18"/>
      </w:rPr>
      <w:t xml:space="preserve">第 </w:t>
    </w:r>
    <w:r>
      <w:rPr>
        <w:sz w:val="18"/>
      </w:rPr>
      <w:fldChar w:fldCharType="begin"/>
      <w:instrText xml:space="preserve"> PAGE </w:instrText>
      <w:fldChar w:fldCharType="separate"/>
      <w:t>1</w:t>
      <w:fldChar w:fldCharType="end"/>
    </w:r>
    <w:r>
      <w:rPr>
        <w:sz w:val="18"/>
      </w:rPr>
      <w:t xml:space="preserve"> 页　共 </w:t>
    </w:r>
    <w:r>
      <w:rPr>
        <w:sz w:val="18"/>
      </w:rPr>
      <w:fldChar w:fldCharType="begin"/>
      <w:instrText xml:space="preserve"> NUMPAGES </w:instrText>
      <w:fldChar w:fldCharType="separate"/>
      <w:t>1</w:t>
      <w:fldChar w:fldCharType="end"/>
    </w:r>
    <w:r>
      <w:rPr>
        <w:sz w:val="18"/>
      </w:rPr>
      <w:t xml:space="preserve"> 页</w:t>
    </w:r>
  </w:p>
  <w:p>
    <w:pPr>
      <w:jc w:val="right"/>
    </w:pPr>
    <w:r>
      <w:rPr>
        <w:color w:val="595959"/>
        <w:sz w:val="15"/>
      </w:rPr>
      <w:t>模板 HT01-v0.7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1" w:color="999999"/>
      </w:pBdr>
    </w:pPr>
    <w:r/>
    <w:r>
      <w:rPr>
        <w:color w:val="595959"/>
        <w:sz w:val="18"/>
      </w:rPr>
      <w:t>人力外包服务框架协议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FF768EF"/>
    <w:rsid w:val="DFFF67E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spacing w:after="120" w:line="340" w:lineRule="exact" w:before="0"/>
      <w:jc w:val="both"/>
    </w:pPr>
    <w:rPr>
      <w:rFonts w:ascii="Times New Roman" w:hAnsi="Times New Roman" w:cstheme="minorBidi" w:eastAsia="宋体"/>
      <w:b w:val="0"/>
      <w:color w:val="000000"/>
      <w:sz w:val="21"/>
      <w:szCs w:val="22"/>
      <w:u w:val="none"/>
      <w:lang w:val="en-US" w:eastAsia="en-US" w:bidi="ar-SA"/>
    </w:rPr>
  </w:style>
  <w:style w:type="paragraph" w:styleId="3">
    <w:name w:val="heading 1"/>
    <w:basedOn w:val="1"/>
    <w:next w:val="1"/>
    <w:link w:val="138"/>
    <w:qFormat/>
    <w:uiPriority w:val="9"/>
    <w:pPr>
      <w:keepNext/>
      <w:keepLines/>
      <w:spacing w:before="280" w:after="120" w:line="400" w:lineRule="exact"/>
      <w:outlineLvl w:val="0"/>
    </w:pPr>
    <w:rPr>
      <w:rFonts w:cstheme="majorBidi" w:ascii="Times New Roman" w:hAnsi="Times New Roman" w:eastAsia="黑体"/>
      <w:b w:val="0"/>
      <w:bCs/>
      <w:color w:val="000000"/>
      <w:sz w:val="24"/>
      <w:szCs w:val="28"/>
      <w:u w:val="none"/>
    </w:rPr>
  </w:style>
  <w:style w:type="paragraph" w:styleId="4">
    <w:name w:val="heading 2"/>
    <w:basedOn w:val="1"/>
    <w:next w:val="1"/>
    <w:link w:val="139"/>
    <w:unhideWhenUsed/>
    <w:qFormat/>
    <w:uiPriority w:val="9"/>
    <w:pPr>
      <w:keepNext/>
      <w:keepLines/>
      <w:spacing w:before="160" w:after="80" w:line="340" w:lineRule="exact"/>
      <w:outlineLvl w:val="1"/>
    </w:pPr>
    <w:rPr>
      <w:rFonts w:cstheme="majorBidi" w:ascii="Times New Roman" w:hAnsi="Times New Roman" w:eastAsia="黑体"/>
      <w:b w:val="0"/>
      <w:bCs/>
      <w:color w:val="000000"/>
      <w:sz w:val="21"/>
      <w:szCs w:val="26"/>
      <w14:textFill>
        <w14:solidFill>
          <w14:schemeClr w14:val="accent1"/>
        </w14:solidFill>
      </w14:textFill>
      <w:u w:val="none"/>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val="0"/>
      <w:spacing w:after="360" w:line="288" w:lineRule="auto" w:before="0"/>
      <w:contextualSpacing/>
      <w:jc w:val="center"/>
    </w:pPr>
    <w:rPr>
      <w:rFonts w:cstheme="majorBidi" w:ascii="Times New Roman" w:hAnsi="Times New Roman" w:eastAsia="黑体"/>
      <w:b w:val="0"/>
      <w:color w:val="000000"/>
      <w:spacing w:val="5"/>
      <w:kern w:val="28"/>
      <w:sz w:val="36"/>
      <w:szCs w:val="52"/>
      <w:u w:val="none"/>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5</TotalTime>
  <ScaleCrop>false</ScaleCrop>
  <LinksUpToDate>false</LinksUpToDate>
  <CharactersWithSpaces>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合同工作台</dc:creator>
  <dc:description/>
  <cp:lastModifiedBy>合同工作台</cp:lastModifiedBy>
  <dcterms:modified xsi:type="dcterms:W3CDTF">2026-03-03T11:38:41Z</dcterms:modified>
  <cp:revision>1</cp:revision>
  <dc:title>HT01-v0.7</dc:title>
  <dc:subject/>
  <cp:keywords/>
  <dc:identifier/>
  <dc:language/>
</cp:coreProperties>
</file>